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AD8" w:rsidRDefault="000D7AD8" w:rsidP="00F5793C">
      <w:pPr>
        <w:ind w:left="6179"/>
        <w:jc w:val="right"/>
        <w:rPr>
          <w:rFonts w:ascii="David" w:hAnsi="David" w:cs="David"/>
          <w:sz w:val="24"/>
          <w:szCs w:val="24"/>
          <w:rtl/>
        </w:rPr>
      </w:pPr>
      <w:bookmarkStart w:id="0" w:name="Date"/>
      <w:bookmarkEnd w:id="0"/>
      <w:r>
        <w:rPr>
          <w:rFonts w:ascii="David" w:hAnsi="David" w:cs="David"/>
          <w:sz w:val="24"/>
          <w:szCs w:val="24"/>
          <w:rtl/>
        </w:rPr>
        <w:t xml:space="preserve">ה' בתמוז </w:t>
      </w:r>
      <w:proofErr w:type="spellStart"/>
      <w:r>
        <w:rPr>
          <w:rFonts w:ascii="David" w:hAnsi="David" w:cs="David"/>
          <w:sz w:val="24"/>
          <w:szCs w:val="24"/>
          <w:rtl/>
        </w:rPr>
        <w:t>התשע"ח</w:t>
      </w:r>
      <w:proofErr w:type="spellEnd"/>
      <w:r>
        <w:rPr>
          <w:rFonts w:ascii="David" w:hAnsi="David" w:cs="David"/>
          <w:sz w:val="24"/>
          <w:szCs w:val="24"/>
          <w:rtl/>
        </w:rPr>
        <w:br/>
        <w:t>18 ביוני 2018</w:t>
      </w:r>
    </w:p>
    <w:p w:rsidR="000D7AD8" w:rsidRDefault="000D7AD8" w:rsidP="00F5793C">
      <w:pPr>
        <w:ind w:left="6179"/>
        <w:jc w:val="right"/>
        <w:rPr>
          <w:rFonts w:ascii="David" w:hAnsi="David" w:cs="David"/>
          <w:sz w:val="24"/>
          <w:szCs w:val="24"/>
          <w:rtl/>
        </w:rPr>
      </w:pPr>
      <w:bookmarkStart w:id="1" w:name="DocNum"/>
      <w:bookmarkStart w:id="2" w:name="_GoBack"/>
      <w:bookmarkEnd w:id="1"/>
      <w:proofErr w:type="spellStart"/>
      <w:r>
        <w:rPr>
          <w:rFonts w:ascii="David" w:hAnsi="David" w:cs="David"/>
          <w:sz w:val="24"/>
          <w:szCs w:val="24"/>
          <w:rtl/>
        </w:rPr>
        <w:t>חמ</w:t>
      </w:r>
      <w:proofErr w:type="spellEnd"/>
      <w:r>
        <w:rPr>
          <w:rFonts w:ascii="David" w:hAnsi="David" w:cs="David"/>
          <w:sz w:val="24"/>
          <w:szCs w:val="24"/>
          <w:rtl/>
        </w:rPr>
        <w:t>. 2018-772</w:t>
      </w:r>
    </w:p>
    <w:bookmarkEnd w:id="2"/>
    <w:p w:rsidR="00A20A12" w:rsidRPr="00F5793C" w:rsidRDefault="00A20A12" w:rsidP="00F5793C">
      <w:pPr>
        <w:jc w:val="right"/>
        <w:rPr>
          <w:rFonts w:ascii="David" w:hAnsi="David" w:cs="David"/>
          <w:sz w:val="24"/>
          <w:szCs w:val="24"/>
          <w:rtl/>
        </w:rPr>
      </w:pPr>
    </w:p>
    <w:p w:rsidR="00A20A12" w:rsidRPr="00F5793C" w:rsidRDefault="00A20A12" w:rsidP="00A20A12">
      <w:pPr>
        <w:jc w:val="left"/>
        <w:rPr>
          <w:rFonts w:ascii="David" w:hAnsi="David" w:cs="David"/>
          <w:sz w:val="24"/>
          <w:szCs w:val="24"/>
          <w:rtl/>
        </w:rPr>
      </w:pPr>
    </w:p>
    <w:p w:rsidR="00A20A12" w:rsidRDefault="00A20A12" w:rsidP="000D7AD8">
      <w:pPr>
        <w:jc w:val="left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5793C">
        <w:rPr>
          <w:rFonts w:ascii="David" w:hAnsi="David" w:cs="David"/>
          <w:b/>
          <w:bCs/>
          <w:sz w:val="24"/>
          <w:szCs w:val="24"/>
          <w:rtl/>
        </w:rPr>
        <w:t xml:space="preserve">הנדון: </w:t>
      </w:r>
      <w:bookmarkStart w:id="3" w:name="About"/>
      <w:bookmarkEnd w:id="3"/>
      <w:r w:rsidR="000D7AD8">
        <w:rPr>
          <w:rFonts w:ascii="David" w:hAnsi="David" w:cs="David"/>
          <w:b/>
          <w:bCs/>
          <w:sz w:val="24"/>
          <w:szCs w:val="24"/>
          <w:u w:val="single"/>
          <w:rtl/>
        </w:rPr>
        <w:t>מענה לשאלות הבהרה - קרן לשיפור דירוג אשראי של לווים</w:t>
      </w:r>
    </w:p>
    <w:p w:rsidR="000D7AD8" w:rsidRPr="00F5793C" w:rsidRDefault="000D7AD8" w:rsidP="000D7AD8">
      <w:pPr>
        <w:jc w:val="left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A20A12" w:rsidRPr="00F5793C" w:rsidRDefault="00A20A12" w:rsidP="00F5793C">
      <w:pPr>
        <w:tabs>
          <w:tab w:val="left" w:pos="613"/>
        </w:tabs>
        <w:jc w:val="left"/>
        <w:rPr>
          <w:rFonts w:ascii="David" w:hAnsi="David" w:cs="David"/>
          <w:sz w:val="24"/>
          <w:szCs w:val="24"/>
          <w:rtl/>
        </w:rPr>
      </w:pPr>
      <w:r w:rsidRPr="00F5793C">
        <w:rPr>
          <w:rFonts w:ascii="David" w:hAnsi="David" w:cs="David"/>
          <w:sz w:val="24"/>
          <w:szCs w:val="24"/>
          <w:rtl/>
        </w:rPr>
        <w:tab/>
      </w:r>
      <w:bookmarkStart w:id="4" w:name="reference"/>
      <w:bookmarkEnd w:id="4"/>
      <w:r w:rsidR="00F5793C" w:rsidRPr="00F5793C">
        <w:rPr>
          <w:rFonts w:ascii="David" w:hAnsi="David" w:cs="David"/>
          <w:sz w:val="24"/>
          <w:szCs w:val="24"/>
          <w:rtl/>
        </w:rPr>
        <w:t xml:space="preserve"> </w:t>
      </w:r>
    </w:p>
    <w:tbl>
      <w:tblPr>
        <w:bidiVisual/>
        <w:tblW w:w="8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3100"/>
        <w:gridCol w:w="4820"/>
      </w:tblGrid>
      <w:tr w:rsidR="00F5793C" w:rsidRPr="00F5793C" w:rsidTr="000D7AD8">
        <w:tc>
          <w:tcPr>
            <w:tcW w:w="785" w:type="dxa"/>
            <w:shd w:val="clear" w:color="auto" w:fill="auto"/>
          </w:tcPr>
          <w:p w:rsidR="00F5793C" w:rsidRPr="00F5793C" w:rsidRDefault="00F5793C" w:rsidP="002A51D0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bookmarkStart w:id="5" w:name="start"/>
            <w:bookmarkEnd w:id="5"/>
            <w:proofErr w:type="spellStart"/>
            <w:r w:rsidRPr="00F5793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מס"ד</w:t>
            </w:r>
            <w:proofErr w:type="spellEnd"/>
          </w:p>
        </w:tc>
        <w:tc>
          <w:tcPr>
            <w:tcW w:w="3100" w:type="dxa"/>
            <w:shd w:val="clear" w:color="auto" w:fill="auto"/>
          </w:tcPr>
          <w:p w:rsidR="00F5793C" w:rsidRPr="00F5793C" w:rsidRDefault="00F5793C" w:rsidP="000D7AD8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שאלות</w:t>
            </w:r>
          </w:p>
        </w:tc>
        <w:tc>
          <w:tcPr>
            <w:tcW w:w="4820" w:type="dxa"/>
            <w:shd w:val="clear" w:color="auto" w:fill="auto"/>
          </w:tcPr>
          <w:p w:rsidR="00F5793C" w:rsidRPr="00F5793C" w:rsidRDefault="00F5793C" w:rsidP="002A51D0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תשובת ועדת המכרזים</w:t>
            </w:r>
          </w:p>
        </w:tc>
      </w:tr>
      <w:tr w:rsidR="00F5793C" w:rsidRPr="00F5793C" w:rsidTr="000D7AD8">
        <w:tc>
          <w:tcPr>
            <w:tcW w:w="785" w:type="dxa"/>
            <w:shd w:val="clear" w:color="auto" w:fill="auto"/>
          </w:tcPr>
          <w:p w:rsidR="00F5793C" w:rsidRPr="00F5793C" w:rsidRDefault="00F5793C" w:rsidP="00F5793C">
            <w:pPr>
              <w:pStyle w:val="a7"/>
              <w:numPr>
                <w:ilvl w:val="0"/>
                <w:numId w:val="8"/>
              </w:numPr>
              <w:spacing w:line="276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F5793C" w:rsidRPr="00F5793C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>מהו היקף הקרן המתוכנן? יש לציין כי להיקף המתוכנן של הקרן יש השלכות על הפתרון התפעולי היעיל.</w:t>
            </w:r>
          </w:p>
        </w:tc>
        <w:tc>
          <w:tcPr>
            <w:tcW w:w="4820" w:type="dxa"/>
            <w:shd w:val="clear" w:color="auto" w:fill="auto"/>
          </w:tcPr>
          <w:p w:rsidR="00F5793C" w:rsidRPr="00F5793C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>היקף הקרן המתוכנן הינו 50 מיליון ש"ח שיועמדו על ידי המדינה. במסגרת זאת, נבחנת אפשרות למימון נוסף מצד הגורם המתפעל (מינוף).</w:t>
            </w:r>
          </w:p>
        </w:tc>
      </w:tr>
      <w:tr w:rsidR="00F5793C" w:rsidRPr="00F5793C" w:rsidTr="000D7AD8">
        <w:tc>
          <w:tcPr>
            <w:tcW w:w="785" w:type="dxa"/>
            <w:shd w:val="clear" w:color="auto" w:fill="auto"/>
          </w:tcPr>
          <w:p w:rsidR="00F5793C" w:rsidRPr="00F5793C" w:rsidRDefault="00F5793C" w:rsidP="00F5793C">
            <w:pPr>
              <w:pStyle w:val="a7"/>
              <w:numPr>
                <w:ilvl w:val="0"/>
                <w:numId w:val="8"/>
              </w:numPr>
              <w:spacing w:line="276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F5793C" w:rsidRPr="00F5793C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האם כוונת המדינה היא שקרן זו תנוהל כפי שבעבר נוהלה קרן לעובדי המדינה?</w:t>
            </w:r>
          </w:p>
        </w:tc>
        <w:tc>
          <w:tcPr>
            <w:tcW w:w="4820" w:type="dxa"/>
            <w:shd w:val="clear" w:color="auto" w:fill="auto"/>
          </w:tcPr>
          <w:p w:rsidR="00F5793C" w:rsidRPr="00F5793C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>מנגנון הניהול יקבע לאחר קבלת התייחסות המציעים לפניה זו. המנגנון יכול להיות תפעולי בלבד, בדומה לקרן לעובדי המדינה ויכול שיכלול גם שירותים פיננסים לצד מינוף תקציב המדינה.</w:t>
            </w:r>
          </w:p>
        </w:tc>
      </w:tr>
      <w:tr w:rsidR="00F5793C" w:rsidRPr="00F5793C" w:rsidTr="000D7AD8">
        <w:tc>
          <w:tcPr>
            <w:tcW w:w="785" w:type="dxa"/>
            <w:shd w:val="clear" w:color="auto" w:fill="auto"/>
          </w:tcPr>
          <w:p w:rsidR="00F5793C" w:rsidRPr="00F5793C" w:rsidRDefault="00F5793C" w:rsidP="00F5793C">
            <w:pPr>
              <w:pStyle w:val="a7"/>
              <w:numPr>
                <w:ilvl w:val="0"/>
                <w:numId w:val="8"/>
              </w:numPr>
              <w:spacing w:line="276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F5793C" w:rsidRPr="00F5793C" w:rsidDel="00D5494E" w:rsidRDefault="00F5793C" w:rsidP="002A51D0">
            <w:pPr>
              <w:tabs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before="120" w:after="120" w:line="360" w:lineRule="auto"/>
              <w:jc w:val="left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5793C">
              <w:rPr>
                <w:rFonts w:ascii="David" w:eastAsia="Calibri" w:hAnsi="David" w:cs="David"/>
                <w:sz w:val="24"/>
                <w:szCs w:val="24"/>
                <w:rtl/>
              </w:rPr>
              <w:t>האם בכוונת המדינה להגדיר מודל חיתום של לשכות דירוג אשראי? כלומר מתפעל הקרן (הבנק) מבצע רק את העבודה התפעולית כשהסיכון נשאר בקרן?</w:t>
            </w:r>
          </w:p>
        </w:tc>
        <w:tc>
          <w:tcPr>
            <w:tcW w:w="4820" w:type="dxa"/>
            <w:shd w:val="clear" w:color="auto" w:fill="auto"/>
          </w:tcPr>
          <w:p w:rsidR="00F5793C" w:rsidRPr="00F5793C" w:rsidDel="00D5494E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>המנגנון יקבע לאחר קבלת התייחסות המציעים לפניה זו.</w:t>
            </w:r>
          </w:p>
        </w:tc>
      </w:tr>
      <w:tr w:rsidR="00F5793C" w:rsidRPr="00F5793C" w:rsidTr="000D7AD8">
        <w:trPr>
          <w:trHeight w:val="637"/>
        </w:trPr>
        <w:tc>
          <w:tcPr>
            <w:tcW w:w="785" w:type="dxa"/>
            <w:shd w:val="clear" w:color="auto" w:fill="auto"/>
          </w:tcPr>
          <w:p w:rsidR="00F5793C" w:rsidRPr="00F5793C" w:rsidRDefault="00F5793C" w:rsidP="00F5793C">
            <w:pPr>
              <w:pStyle w:val="a7"/>
              <w:numPr>
                <w:ilvl w:val="0"/>
                <w:numId w:val="8"/>
              </w:numPr>
              <w:spacing w:line="276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F5793C" w:rsidRPr="00F5793C" w:rsidDel="00D5494E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>האם בכוונת המדינה לחתום על הסכם עם אחת מלשכות דירוג האשראי?</w:t>
            </w:r>
          </w:p>
        </w:tc>
        <w:tc>
          <w:tcPr>
            <w:tcW w:w="4820" w:type="dxa"/>
            <w:shd w:val="clear" w:color="auto" w:fill="auto"/>
          </w:tcPr>
          <w:p w:rsidR="00F5793C" w:rsidRPr="00F5793C" w:rsidDel="00D5494E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>המנגנון יקבע לאחר קבלת התייחסות המציעים לפניה זו.</w:t>
            </w:r>
          </w:p>
        </w:tc>
      </w:tr>
      <w:tr w:rsidR="00F5793C" w:rsidRPr="00F5793C" w:rsidTr="000D7AD8">
        <w:trPr>
          <w:trHeight w:val="703"/>
        </w:trPr>
        <w:tc>
          <w:tcPr>
            <w:tcW w:w="785" w:type="dxa"/>
            <w:shd w:val="clear" w:color="auto" w:fill="auto"/>
          </w:tcPr>
          <w:p w:rsidR="00F5793C" w:rsidRPr="00F5793C" w:rsidRDefault="00F5793C" w:rsidP="00F5793C">
            <w:pPr>
              <w:pStyle w:val="a7"/>
              <w:numPr>
                <w:ilvl w:val="0"/>
                <w:numId w:val="8"/>
              </w:numPr>
              <w:spacing w:line="276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F5793C" w:rsidRPr="00F5793C" w:rsidDel="00D5494E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 xml:space="preserve">האם קיימים קריטריונים למתן ההלוואות? </w:t>
            </w:r>
          </w:p>
        </w:tc>
        <w:tc>
          <w:tcPr>
            <w:tcW w:w="4820" w:type="dxa"/>
            <w:shd w:val="clear" w:color="auto" w:fill="auto"/>
          </w:tcPr>
          <w:p w:rsidR="00F5793C" w:rsidRPr="00F5793C" w:rsidDel="00D5494E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>הקריטריונים, כולם או חלקם, ייקבעו לאחר קבלת התייחסות המציעים לפניה זו.</w:t>
            </w:r>
          </w:p>
        </w:tc>
      </w:tr>
      <w:tr w:rsidR="00F5793C" w:rsidRPr="00F5793C" w:rsidTr="000D7AD8">
        <w:tc>
          <w:tcPr>
            <w:tcW w:w="785" w:type="dxa"/>
            <w:shd w:val="clear" w:color="auto" w:fill="auto"/>
          </w:tcPr>
          <w:p w:rsidR="00F5793C" w:rsidRPr="00F5793C" w:rsidRDefault="00F5793C" w:rsidP="00F5793C">
            <w:pPr>
              <w:pStyle w:val="a7"/>
              <w:numPr>
                <w:ilvl w:val="0"/>
                <w:numId w:val="8"/>
              </w:numPr>
              <w:spacing w:line="276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F5793C" w:rsidRPr="00F5793C" w:rsidRDefault="00F5793C" w:rsidP="002A51D0">
            <w:pPr>
              <w:tabs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before="120" w:after="120" w:line="360" w:lineRule="auto"/>
              <w:jc w:val="left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5793C">
              <w:rPr>
                <w:rFonts w:ascii="David" w:eastAsia="Calibri" w:hAnsi="David" w:cs="David"/>
                <w:sz w:val="24"/>
                <w:szCs w:val="24"/>
                <w:rtl/>
              </w:rPr>
              <w:t>מכיוון שלא הכרחי שמבקש ההלוואה יהיה לקוח הבנק, ישנן סוגיות ציות והלבנת הון שיש לתת עליהן את הדעת [על מקבל ההלוואה לפתוח חשבון תפעולי בבנק]. האם סוגיות אלה נבחנו בשלב זה מול בנק ישראל?</w:t>
            </w:r>
          </w:p>
          <w:p w:rsidR="00F5793C" w:rsidRPr="00F5793C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820" w:type="dxa"/>
            <w:shd w:val="clear" w:color="auto" w:fill="auto"/>
          </w:tcPr>
          <w:p w:rsidR="00F5793C" w:rsidRPr="00F5793C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>סוגיות אלו יבחנו לאחר שיוחלט על אופי המנגנון ובהתאם, בין היתר, להתייחסות המציעים לפניה זו.</w:t>
            </w:r>
          </w:p>
        </w:tc>
      </w:tr>
      <w:tr w:rsidR="00F5793C" w:rsidRPr="00F5793C" w:rsidTr="000D7AD8">
        <w:tc>
          <w:tcPr>
            <w:tcW w:w="785" w:type="dxa"/>
            <w:shd w:val="clear" w:color="auto" w:fill="auto"/>
          </w:tcPr>
          <w:p w:rsidR="00F5793C" w:rsidRPr="00F5793C" w:rsidRDefault="00F5793C" w:rsidP="00F5793C">
            <w:pPr>
              <w:pStyle w:val="a7"/>
              <w:numPr>
                <w:ilvl w:val="0"/>
                <w:numId w:val="8"/>
              </w:numPr>
              <w:spacing w:line="276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F5793C" w:rsidRPr="00F5793C" w:rsidRDefault="00F5793C" w:rsidP="002A51D0">
            <w:pPr>
              <w:tabs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before="120" w:after="120" w:line="360" w:lineRule="auto"/>
              <w:jc w:val="left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5793C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להבנתנו, בכוונת המדינה להעניק מתווה מסוים של ערבות מדינה. בהתאם לכך, במקרה של חדלות פירעון של הלווה, האם בכוונת המדינה להיכנס בנעלי הלווה </w:t>
            </w:r>
            <w:r w:rsidRPr="00F5793C">
              <w:rPr>
                <w:rFonts w:ascii="David" w:eastAsia="Calibri" w:hAnsi="David" w:cs="David"/>
                <w:sz w:val="24"/>
                <w:szCs w:val="24"/>
                <w:rtl/>
              </w:rPr>
              <w:lastRenderedPageBreak/>
              <w:t xml:space="preserve">ולהחזיר את ההלוואה על פני התקופה או בפירעון </w:t>
            </w:r>
            <w:proofErr w:type="spellStart"/>
            <w:r w:rsidRPr="00F5793C">
              <w:rPr>
                <w:rFonts w:ascii="David" w:eastAsia="Calibri" w:hAnsi="David" w:cs="David"/>
                <w:sz w:val="24"/>
                <w:szCs w:val="24"/>
                <w:rtl/>
              </w:rPr>
              <w:t>מיידי</w:t>
            </w:r>
            <w:proofErr w:type="spellEnd"/>
            <w:r w:rsidRPr="00F5793C">
              <w:rPr>
                <w:rFonts w:ascii="David" w:eastAsia="Calibri" w:hAnsi="David" w:cs="David"/>
                <w:sz w:val="24"/>
                <w:szCs w:val="24"/>
                <w:rtl/>
              </w:rPr>
              <w:t xml:space="preserve">? נודה לקבלת הבהרות לגבי שיעור ערבות זה והכיסוי שיינתן לחובות מסופקים ואבודים כמו גם מה יהיו הקריטריונים למימוש ערבות המדינה?  </w:t>
            </w:r>
          </w:p>
          <w:p w:rsidR="00F5793C" w:rsidRPr="00F5793C" w:rsidRDefault="00F5793C" w:rsidP="002A51D0">
            <w:pPr>
              <w:tabs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before="120" w:after="120" w:line="360" w:lineRule="auto"/>
              <w:jc w:val="left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4820" w:type="dxa"/>
            <w:shd w:val="clear" w:color="auto" w:fill="auto"/>
          </w:tcPr>
          <w:p w:rsidR="00F5793C" w:rsidRPr="00F5793C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lastRenderedPageBreak/>
              <w:t>פעילות הקרן לא תכלול ערבות מדינה אך תכלול כספי תקציב. אופן ומנגנון הגבייה ייקבע לאחר קבלת התשובות לפנייה זו.</w:t>
            </w:r>
          </w:p>
          <w:p w:rsidR="00F5793C" w:rsidRPr="00F5793C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F5793C" w:rsidRPr="00F5793C" w:rsidTr="000D7AD8">
        <w:tc>
          <w:tcPr>
            <w:tcW w:w="785" w:type="dxa"/>
            <w:shd w:val="clear" w:color="auto" w:fill="auto"/>
          </w:tcPr>
          <w:p w:rsidR="00F5793C" w:rsidRPr="00F5793C" w:rsidRDefault="00F5793C" w:rsidP="00F5793C">
            <w:pPr>
              <w:pStyle w:val="a7"/>
              <w:numPr>
                <w:ilvl w:val="0"/>
                <w:numId w:val="8"/>
              </w:numPr>
              <w:spacing w:line="276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F5793C" w:rsidRPr="00F5793C" w:rsidRDefault="00F5793C" w:rsidP="002A51D0">
            <w:pPr>
              <w:tabs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before="120" w:after="120" w:line="360" w:lineRule="auto"/>
              <w:jc w:val="left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>האם הגורם המתפעל יהיה אחראי גם על היבטי הגביה?</w:t>
            </w:r>
          </w:p>
        </w:tc>
        <w:tc>
          <w:tcPr>
            <w:tcW w:w="4820" w:type="dxa"/>
            <w:shd w:val="clear" w:color="auto" w:fill="auto"/>
          </w:tcPr>
          <w:p w:rsidR="00F5793C" w:rsidRPr="00F5793C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>השירותים המוגדרים בסעיף 1.4 לפנייה אינם מותנים ויכול שיינתנו על ידי גורם אחד או מספר גורמים. המנגנון יקבע לאחר קבלת התייחסות המציעים לפניה זו.</w:t>
            </w:r>
          </w:p>
        </w:tc>
      </w:tr>
      <w:tr w:rsidR="00F5793C" w:rsidRPr="00F5793C" w:rsidTr="000D7AD8">
        <w:tc>
          <w:tcPr>
            <w:tcW w:w="785" w:type="dxa"/>
            <w:shd w:val="clear" w:color="auto" w:fill="auto"/>
          </w:tcPr>
          <w:p w:rsidR="00F5793C" w:rsidRPr="00F5793C" w:rsidRDefault="00F5793C" w:rsidP="00F5793C">
            <w:pPr>
              <w:pStyle w:val="a7"/>
              <w:numPr>
                <w:ilvl w:val="0"/>
                <w:numId w:val="8"/>
              </w:numPr>
              <w:spacing w:line="276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F5793C" w:rsidRPr="00F5793C" w:rsidRDefault="00F5793C" w:rsidP="002A51D0">
            <w:pPr>
              <w:tabs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before="120" w:after="120" w:line="360" w:lineRule="auto"/>
              <w:jc w:val="left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5793C">
              <w:rPr>
                <w:rFonts w:ascii="David" w:eastAsia="Calibri" w:hAnsi="David" w:cs="David"/>
                <w:sz w:val="24"/>
                <w:szCs w:val="24"/>
                <w:rtl/>
              </w:rPr>
              <w:t>האם כוונת המדינה היא שהשירות המוצע יינתן באמצעים טכנולוגיים או בשירות פרונטלי בסניף?</w:t>
            </w:r>
          </w:p>
        </w:tc>
        <w:tc>
          <w:tcPr>
            <w:tcW w:w="4820" w:type="dxa"/>
            <w:shd w:val="clear" w:color="auto" w:fill="auto"/>
          </w:tcPr>
          <w:p w:rsidR="00F5793C" w:rsidRPr="00F5793C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 xml:space="preserve">אופן מתן השירותים טרם נקבע. יחד עם זאת, הממשלה מבקשת </w:t>
            </w:r>
            <w:proofErr w:type="spellStart"/>
            <w:r w:rsidRPr="00F5793C">
              <w:rPr>
                <w:rFonts w:ascii="David" w:hAnsi="David" w:cs="David"/>
                <w:sz w:val="24"/>
                <w:szCs w:val="24"/>
                <w:rtl/>
              </w:rPr>
              <w:t>להנגיש</w:t>
            </w:r>
            <w:proofErr w:type="spellEnd"/>
            <w:r w:rsidRPr="00F5793C">
              <w:rPr>
                <w:rFonts w:ascii="David" w:hAnsi="David" w:cs="David"/>
                <w:sz w:val="24"/>
                <w:szCs w:val="24"/>
                <w:rtl/>
              </w:rPr>
              <w:t xml:space="preserve"> ככל שניתן את השירותים לכלל האוכלוסייה בצורה המיטבית.</w:t>
            </w:r>
          </w:p>
        </w:tc>
      </w:tr>
      <w:tr w:rsidR="00F5793C" w:rsidRPr="00F5793C" w:rsidTr="000D7AD8">
        <w:tc>
          <w:tcPr>
            <w:tcW w:w="785" w:type="dxa"/>
            <w:shd w:val="clear" w:color="auto" w:fill="auto"/>
          </w:tcPr>
          <w:p w:rsidR="00F5793C" w:rsidRPr="00F5793C" w:rsidRDefault="00F5793C" w:rsidP="00F5793C">
            <w:pPr>
              <w:pStyle w:val="a7"/>
              <w:numPr>
                <w:ilvl w:val="0"/>
                <w:numId w:val="8"/>
              </w:numPr>
              <w:spacing w:line="276" w:lineRule="auto"/>
              <w:jc w:val="left"/>
              <w:rPr>
                <w:rFonts w:ascii="David" w:hAnsi="David" w:cs="David"/>
                <w:szCs w:val="24"/>
                <w:rtl/>
              </w:rPr>
            </w:pPr>
          </w:p>
        </w:tc>
        <w:tc>
          <w:tcPr>
            <w:tcW w:w="3100" w:type="dxa"/>
            <w:shd w:val="clear" w:color="auto" w:fill="auto"/>
          </w:tcPr>
          <w:p w:rsidR="00F5793C" w:rsidRPr="00F5793C" w:rsidRDefault="00F5793C" w:rsidP="002A51D0">
            <w:pPr>
              <w:tabs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before="120" w:after="120" w:line="360" w:lineRule="auto"/>
              <w:jc w:val="left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F5793C">
              <w:rPr>
                <w:rFonts w:ascii="David" w:eastAsia="Calibri" w:hAnsi="David" w:cs="David"/>
                <w:sz w:val="24"/>
                <w:szCs w:val="24"/>
                <w:rtl/>
              </w:rPr>
              <w:t>האם בכוונת המדינה לאפיין בעצמה את האוכלוסייה הרלוונטית?</w:t>
            </w:r>
          </w:p>
        </w:tc>
        <w:tc>
          <w:tcPr>
            <w:tcW w:w="4820" w:type="dxa"/>
            <w:shd w:val="clear" w:color="auto" w:fill="auto"/>
          </w:tcPr>
          <w:p w:rsidR="00F5793C" w:rsidRPr="00F5793C" w:rsidRDefault="00F5793C" w:rsidP="002A51D0">
            <w:pPr>
              <w:spacing w:line="276" w:lineRule="auto"/>
              <w:jc w:val="left"/>
              <w:rPr>
                <w:rFonts w:ascii="David" w:hAnsi="David" w:cs="David"/>
                <w:sz w:val="24"/>
                <w:szCs w:val="24"/>
                <w:rtl/>
              </w:rPr>
            </w:pPr>
            <w:r w:rsidRPr="00F5793C">
              <w:rPr>
                <w:rFonts w:ascii="David" w:hAnsi="David" w:cs="David"/>
                <w:sz w:val="24"/>
                <w:szCs w:val="24"/>
                <w:rtl/>
              </w:rPr>
              <w:t>הממשלה היא זו שתקבע את אוכלוסיית הזכאים. יחד עם זאת, הממשלה מבקשת לקבל במסגרת ההליך את התייחסות המשיבים אף לעניין זה.</w:t>
            </w:r>
          </w:p>
        </w:tc>
      </w:tr>
    </w:tbl>
    <w:p w:rsidR="00BA4FDD" w:rsidRPr="00F5793C" w:rsidRDefault="00BA4FDD" w:rsidP="00BA4FDD">
      <w:pPr>
        <w:rPr>
          <w:rFonts w:ascii="David" w:hAnsi="David" w:cs="David"/>
          <w:sz w:val="24"/>
          <w:szCs w:val="24"/>
          <w:rtl/>
        </w:rPr>
      </w:pPr>
    </w:p>
    <w:sectPr w:rsidR="00BA4FDD" w:rsidRPr="00F5793C" w:rsidSect="00A20A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797" w:bottom="1418" w:left="1797" w:header="720" w:footer="17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70D" w:rsidRDefault="0002770D" w:rsidP="00A20A12">
      <w:r>
        <w:separator/>
      </w:r>
    </w:p>
  </w:endnote>
  <w:endnote w:type="continuationSeparator" w:id="0">
    <w:p w:rsidR="0002770D" w:rsidRDefault="0002770D" w:rsidP="00A2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23" w:rsidRDefault="00A20A12" w:rsidP="00BA4FDD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 w:rsidR="00E20E07">
      <w:rPr>
        <w:rFonts w:hint="cs"/>
        <w:rtl/>
      </w:rPr>
      <w:t>9103002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</w:t>
    </w:r>
    <w:r w:rsidR="00BA4FDD">
      <w:rPr>
        <w:rFonts w:hint="cs"/>
        <w:rtl/>
      </w:rPr>
      <w:t>55</w:t>
    </w:r>
    <w:r w:rsidRPr="00C03352">
      <w:rPr>
        <w:rFonts w:hint="cs"/>
        <w:rtl/>
      </w:rPr>
      <w:t xml:space="preserve"> פקס: 02-5695</w:t>
    </w:r>
    <w:r w:rsidR="00BA4FDD">
      <w:rPr>
        <w:rFonts w:hint="cs"/>
        <w:rtl/>
      </w:rPr>
      <w:t>225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1E349CD5" wp14:editId="63715066">
          <wp:extent cx="444500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proofErr w:type="spellStart"/>
    <w:r w:rsidRPr="00C03352">
      <w:rPr>
        <w:rFonts w:hint="cs"/>
        <w:rtl/>
      </w:rPr>
      <w:t>חשכ"ל</w:t>
    </w:r>
    <w:proofErr w:type="spellEnd"/>
    <w:r w:rsidRPr="00C03352">
      <w:rPr>
        <w:rFonts w:hint="cs"/>
        <w:rtl/>
      </w:rPr>
      <w:t xml:space="preserve">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:rsidR="006A523F" w:rsidRPr="00216723" w:rsidRDefault="00A20A12" w:rsidP="00216723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23F" w:rsidRDefault="00A20A12" w:rsidP="00BA4FDD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 w:rsidR="00E20E07">
      <w:rPr>
        <w:rFonts w:hint="cs"/>
        <w:rtl/>
      </w:rPr>
      <w:t>9103002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</w:t>
    </w:r>
    <w:r w:rsidR="00BA4FDD">
      <w:rPr>
        <w:rFonts w:hint="cs"/>
        <w:rtl/>
      </w:rPr>
      <w:t>55</w:t>
    </w:r>
    <w:r w:rsidRPr="00C03352">
      <w:rPr>
        <w:rFonts w:hint="cs"/>
        <w:rtl/>
      </w:rPr>
      <w:t xml:space="preserve"> פקס: 02-5695</w:t>
    </w:r>
    <w:r w:rsidR="00BA4FDD">
      <w:rPr>
        <w:rFonts w:hint="cs"/>
        <w:rtl/>
      </w:rPr>
      <w:t>225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CDA418F" wp14:editId="4C11CDB6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proofErr w:type="spellStart"/>
    <w:r w:rsidRPr="00C03352">
      <w:rPr>
        <w:rFonts w:hint="cs"/>
        <w:rtl/>
      </w:rPr>
      <w:t>חשכ"ל</w:t>
    </w:r>
    <w:proofErr w:type="spellEnd"/>
    <w:r w:rsidRPr="00C03352">
      <w:rPr>
        <w:rFonts w:hint="cs"/>
        <w:rtl/>
      </w:rPr>
      <w:t xml:space="preserve">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:rsidR="006A523F" w:rsidRPr="00C03352" w:rsidRDefault="00A20A12" w:rsidP="001B36E2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70D" w:rsidRDefault="0002770D" w:rsidP="00A20A12">
      <w:r>
        <w:separator/>
      </w:r>
    </w:p>
  </w:footnote>
  <w:footnote w:type="continuationSeparator" w:id="0">
    <w:p w:rsidR="0002770D" w:rsidRDefault="0002770D" w:rsidP="00A20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23F" w:rsidRDefault="00A20A12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6A523F" w:rsidRDefault="0002770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23F" w:rsidRDefault="00A20A12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462CD4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6A523F" w:rsidRDefault="0002770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23F" w:rsidRDefault="00DE5727" w:rsidP="006A523F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 w:rsidRPr="00DE5727">
      <w:rPr>
        <w:b/>
        <w:bCs/>
        <w:noProof/>
        <w:szCs w:val="40"/>
        <w:lang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269875</wp:posOffset>
          </wp:positionV>
          <wp:extent cx="913765" cy="747395"/>
          <wp:effectExtent l="0" t="0" r="635" b="0"/>
          <wp:wrapNone/>
          <wp:docPr id="4" name="Samlil70" title="סמליל 70 ל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לבן שקוף גדול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0A12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4C0F7B97" wp14:editId="0905226E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0A12">
      <w:rPr>
        <w:b/>
        <w:bCs/>
        <w:szCs w:val="40"/>
      </w:rPr>
      <w:tab/>
    </w:r>
    <w:r w:rsidR="00A20A12">
      <w:rPr>
        <w:b/>
        <w:bCs/>
        <w:szCs w:val="40"/>
      </w:rPr>
      <w:tab/>
    </w:r>
  </w:p>
  <w:p w:rsidR="006A523F" w:rsidRDefault="00462CD4" w:rsidP="00462CD4">
    <w:pPr>
      <w:pStyle w:val="a8"/>
      <w:rPr>
        <w:b/>
        <w:bCs/>
        <w:szCs w:val="32"/>
        <w:rtl/>
      </w:rPr>
    </w:pPr>
    <w:r>
      <w:rPr>
        <w:b/>
        <w:bCs/>
        <w:szCs w:val="40"/>
        <w:rtl/>
      </w:rPr>
      <w:tab/>
    </w:r>
    <w:r w:rsidR="00A20A12">
      <w:rPr>
        <w:b/>
        <w:bCs/>
        <w:szCs w:val="40"/>
        <w:rtl/>
      </w:rPr>
      <w:t>מדינת ישראל</w:t>
    </w:r>
  </w:p>
  <w:p w:rsidR="006A523F" w:rsidRDefault="00A20A12" w:rsidP="00FC46AC">
    <w:pPr>
      <w:pStyle w:val="a8"/>
      <w:jc w:val="center"/>
      <w:rPr>
        <w:b/>
        <w:bCs/>
        <w:szCs w:val="32"/>
        <w:rtl/>
      </w:rPr>
    </w:pPr>
    <w:r>
      <w:rPr>
        <w:b/>
        <w:bCs/>
        <w:szCs w:val="32"/>
        <w:rtl/>
      </w:rPr>
      <w:t>משרד האוצר</w:t>
    </w:r>
  </w:p>
  <w:p w:rsidR="00906776" w:rsidRDefault="00906776" w:rsidP="00906776">
    <w:pPr>
      <w:pStyle w:val="a8"/>
      <w:jc w:val="center"/>
      <w:rPr>
        <w:color w:val="365F91" w:themeColor="accent1" w:themeShade="BF"/>
      </w:rPr>
    </w:pPr>
    <w:r>
      <w:rPr>
        <w:rFonts w:hint="cs"/>
        <w:color w:val="365F91" w:themeColor="accent1" w:themeShade="BF"/>
        <w:rtl/>
      </w:rPr>
      <w:t>חטיבת המימון והאשראי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3367357C"/>
    <w:multiLevelType w:val="hybridMultilevel"/>
    <w:tmpl w:val="A6687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12"/>
    <w:rsid w:val="00014182"/>
    <w:rsid w:val="0002770D"/>
    <w:rsid w:val="00047C97"/>
    <w:rsid w:val="000520B7"/>
    <w:rsid w:val="000568CE"/>
    <w:rsid w:val="00066383"/>
    <w:rsid w:val="00093B9D"/>
    <w:rsid w:val="000B2F62"/>
    <w:rsid w:val="000C04AE"/>
    <w:rsid w:val="000D7AD8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D111D"/>
    <w:rsid w:val="002D7789"/>
    <w:rsid w:val="002E38F4"/>
    <w:rsid w:val="002F0144"/>
    <w:rsid w:val="002F197C"/>
    <w:rsid w:val="00325E01"/>
    <w:rsid w:val="00341FF3"/>
    <w:rsid w:val="00361114"/>
    <w:rsid w:val="003734D1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2CD4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91C3B"/>
    <w:rsid w:val="005D42E4"/>
    <w:rsid w:val="00600BFA"/>
    <w:rsid w:val="00600F1F"/>
    <w:rsid w:val="00602DAD"/>
    <w:rsid w:val="006309B0"/>
    <w:rsid w:val="0066664E"/>
    <w:rsid w:val="006823F9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5A2C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C338A"/>
    <w:rsid w:val="007D4118"/>
    <w:rsid w:val="007E2692"/>
    <w:rsid w:val="0080160A"/>
    <w:rsid w:val="0082739B"/>
    <w:rsid w:val="008449A0"/>
    <w:rsid w:val="00864DB3"/>
    <w:rsid w:val="00867AE5"/>
    <w:rsid w:val="00870D8A"/>
    <w:rsid w:val="008825AA"/>
    <w:rsid w:val="00891B35"/>
    <w:rsid w:val="008B39D7"/>
    <w:rsid w:val="008E77BE"/>
    <w:rsid w:val="00906776"/>
    <w:rsid w:val="00910BC9"/>
    <w:rsid w:val="00915C9A"/>
    <w:rsid w:val="0093434E"/>
    <w:rsid w:val="00935E81"/>
    <w:rsid w:val="00986444"/>
    <w:rsid w:val="00990A24"/>
    <w:rsid w:val="009B64FE"/>
    <w:rsid w:val="009E52B5"/>
    <w:rsid w:val="009F7F7A"/>
    <w:rsid w:val="00A06A7A"/>
    <w:rsid w:val="00A15876"/>
    <w:rsid w:val="00A15D5D"/>
    <w:rsid w:val="00A20A12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A4FDD"/>
    <w:rsid w:val="00BB393A"/>
    <w:rsid w:val="00BD67E7"/>
    <w:rsid w:val="00C01906"/>
    <w:rsid w:val="00C171DC"/>
    <w:rsid w:val="00C27AC8"/>
    <w:rsid w:val="00C320C4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8690E"/>
    <w:rsid w:val="00D969C1"/>
    <w:rsid w:val="00DD5320"/>
    <w:rsid w:val="00DE069A"/>
    <w:rsid w:val="00DE5727"/>
    <w:rsid w:val="00DE7CC8"/>
    <w:rsid w:val="00DF73FF"/>
    <w:rsid w:val="00E20E07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5793C"/>
    <w:rsid w:val="00F74EF7"/>
    <w:rsid w:val="00F80DA7"/>
    <w:rsid w:val="00F975CB"/>
    <w:rsid w:val="00FD7D9B"/>
    <w:rsid w:val="00FE3193"/>
    <w:rsid w:val="00FE3F33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C1183E"/>
  <w15:docId w15:val="{522553F8-4170-4069-B1E4-EB43164D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5191E-2365-44E3-AF6D-1CE92B5C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שלומי כהן</cp:lastModifiedBy>
  <cp:revision>3</cp:revision>
  <dcterms:created xsi:type="dcterms:W3CDTF">2018-06-18T10:59:00Z</dcterms:created>
  <dcterms:modified xsi:type="dcterms:W3CDTF">2018-06-18T10:59:00Z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notes://MAOR2/Doc/Hashkal/MimunHashkalDoc.nsf/0/A74FB463621C5D81C22582B0003BF203/?OpenDocument</vt:lpwstr>
  </property>
  <property fmtid="{D5CDD505-2E9C-101B-9397-08002B2CF9AE}" pid="3" name="MaorRecipients0">
    <vt:lpwstr>shlomi.cohen@mof.gov.il</vt:lpwstr>
  </property>
</Properties>
</file>